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3" w:rsidRPr="003D53A6" w:rsidRDefault="00D450DA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15.01.2019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087C40">
        <w:rPr>
          <w:rFonts w:ascii="Arial" w:eastAsia="Calibri" w:hAnsi="Arial" w:cs="Arial"/>
          <w:b/>
          <w:sz w:val="32"/>
          <w:szCs w:val="32"/>
          <w:lang w:eastAsia="ru-RU"/>
        </w:rPr>
        <w:t xml:space="preserve"> № 5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БАЛАГАНСКИЙ РАЙОН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12745" w:rsidRDefault="00312745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312745" w:rsidRDefault="0003310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№ 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>1/1 ОТ 15.01.2018</w:t>
      </w:r>
      <w:r w:rsidR="00312745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МУНИЦИПАЛЬНОЙ ПРОГРАММЫ "ЧИСТАЯ ВОДА" КОНОВАЛОВСКОГО МУ</w:t>
      </w:r>
      <w:r w:rsidR="003E6978">
        <w:rPr>
          <w:rFonts w:ascii="Arial" w:eastAsia="Calibri" w:hAnsi="Arial" w:cs="Arial"/>
          <w:b/>
          <w:sz w:val="32"/>
          <w:szCs w:val="32"/>
          <w:lang w:eastAsia="ru-RU"/>
        </w:rPr>
        <w:t>НИЦИПАЛЬНОГО ОБРАЗО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>ВАНИЯ НА 2018-2020</w:t>
      </w: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ГОДЫ"</w:t>
      </w: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</w:t>
      </w:r>
      <w:r w:rsidR="009216BB">
        <w:rPr>
          <w:rFonts w:ascii="Arial" w:eastAsiaTheme="minorEastAsia" w:hAnsi="Arial" w:cs="Arial"/>
          <w:sz w:val="24"/>
          <w:szCs w:val="24"/>
          <w:lang w:eastAsia="ru-RU"/>
        </w:rPr>
        <w:t xml:space="preserve"> Иркутской области» на 2014-2020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годы,</w:t>
      </w:r>
      <w:r w:rsidR="009216BB">
        <w:rPr>
          <w:rFonts w:ascii="Arial" w:eastAsiaTheme="minorEastAsia" w:hAnsi="Arial" w:cs="Arial"/>
          <w:sz w:val="24"/>
          <w:szCs w:val="24"/>
          <w:lang w:eastAsia="ru-RU"/>
        </w:rPr>
        <w:t xml:space="preserve"> (с изменениями на 29.10.2018 г.)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ст.6 Устава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образования, администрация Коноваловского муниципального образования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3D53A6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p w:rsidR="00702C83" w:rsidRPr="003D53A6" w:rsidRDefault="0031274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изменения в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муниципальную программу «Чистая вода» Коноваловского му</w:t>
      </w:r>
      <w:r w:rsidR="003E6978">
        <w:rPr>
          <w:rFonts w:ascii="Arial" w:eastAsia="Times New Roman" w:hAnsi="Arial" w:cs="Arial"/>
          <w:sz w:val="24"/>
          <w:szCs w:val="24"/>
        </w:rPr>
        <w:t>ници</w:t>
      </w:r>
      <w:r w:rsidR="00D35035">
        <w:rPr>
          <w:rFonts w:ascii="Arial" w:eastAsia="Times New Roman" w:hAnsi="Arial" w:cs="Arial"/>
          <w:sz w:val="24"/>
          <w:szCs w:val="24"/>
        </w:rPr>
        <w:t>пального образования на 2019</w:t>
      </w:r>
      <w:r w:rsidR="004D5707">
        <w:rPr>
          <w:rFonts w:ascii="Arial" w:eastAsia="Times New Roman" w:hAnsi="Arial" w:cs="Arial"/>
          <w:sz w:val="24"/>
          <w:szCs w:val="24"/>
        </w:rPr>
        <w:t>-2021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годы (приложение № 1).</w:t>
      </w:r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:rsidR="00702C83" w:rsidRPr="003D53A6" w:rsidRDefault="00D3503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коновалово.рф</w:t>
      </w:r>
      <w:proofErr w:type="spellEnd"/>
      <w:proofErr w:type="gramEnd"/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Конт</w:t>
      </w:r>
      <w:r w:rsidR="00D3503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Pr="003D53A6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  <w:r w:rsidR="00D350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179D" w:rsidRDefault="00A9179D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spellStart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И.В. Бережных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D53A6">
        <w:rPr>
          <w:rFonts w:ascii="Courier New" w:eastAsia="Times New Roman" w:hAnsi="Courier New" w:cs="Courier New"/>
          <w:szCs w:val="24"/>
          <w:lang w:eastAsia="ru-RU"/>
        </w:rPr>
        <w:t xml:space="preserve">Приложение № 1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Администрация Коноваловского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____________ И.В. Бережных </w:t>
      </w:r>
    </w:p>
    <w:p w:rsidR="00702C83" w:rsidRPr="003D53A6" w:rsidRDefault="00087C40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C40">
        <w:rPr>
          <w:rFonts w:ascii="Arial" w:eastAsia="Times New Roman" w:hAnsi="Arial" w:cs="Arial"/>
          <w:sz w:val="24"/>
          <w:szCs w:val="24"/>
          <w:lang w:eastAsia="ru-RU"/>
        </w:rPr>
        <w:t>от «15» января 2019</w:t>
      </w:r>
      <w:r w:rsidR="00702C83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М.П.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МУНИЦИПАЛЬНАЯ ПРОГРАММА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5E69BA" w:rsidP="005E69BA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Коновалово</w:t>
      </w:r>
      <w:proofErr w:type="spellEnd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, 2019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МУНИЦИПАЛЬНОЙ ПРОГРАММЫ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6B1AA0" w:rsidP="00702C83">
      <w:pPr>
        <w:tabs>
          <w:tab w:val="num" w:pos="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«Чистая вода» </w:t>
      </w:r>
      <w:r w:rsidR="00033103">
        <w:rPr>
          <w:rFonts w:ascii="Arial" w:eastAsia="Times New Roman" w:hAnsi="Arial" w:cs="Arial"/>
          <w:sz w:val="24"/>
          <w:szCs w:val="24"/>
          <w:lang w:eastAsia="ru-RU"/>
        </w:rPr>
        <w:t>на 2019-2021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и д.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Ташлыкова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«Чистая вода» Коноваловского му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ниципального образования на 2019-2021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Администрация Коноваловского муниципального образования 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702C83" w:rsidRPr="003D53A6" w:rsidTr="007438DA">
        <w:trPr>
          <w:trHeight w:val="23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Создание условий для развития механизмов государственно-частного партнерства.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Развитие и модернизация объектов водоснабжения.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Монтаж установки по очистке воды в здании водонапорной башни.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4. Приобретение специализированной техники для водоснабжения населения.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03310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2019 - 2021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Развитие государственно-частного партнерства.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2.Развитие и модернизация объектов водоснабжения.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Приобретение специализированной техники для водоснабжения населения.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составляет: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C949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2 344</w:t>
            </w:r>
            <w:r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015,75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 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6B1AA0">
              <w:rPr>
                <w:rFonts w:ascii="Courier New" w:eastAsia="Times New Roman" w:hAnsi="Courier New" w:cs="Courier New"/>
                <w:b/>
                <w:lang w:eastAsia="ru-RU"/>
              </w:rPr>
              <w:t>1 895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 xml:space="preserve"> 000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 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2 264 015,75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80 000,00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областного бюджета составляет:</w:t>
            </w:r>
          </w:p>
          <w:p w:rsidR="00702C83" w:rsidRPr="003D53A6" w:rsidRDefault="00B7452C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2 373 215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,75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6B1AA0">
              <w:rPr>
                <w:rFonts w:ascii="Courier New" w:eastAsia="Times New Roman" w:hAnsi="Courier New" w:cs="Courier New"/>
                <w:b/>
                <w:lang w:eastAsia="ru-RU"/>
              </w:rPr>
              <w:t>1 876 05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497 165,75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местного бюджета составляет:</w:t>
            </w:r>
          </w:p>
          <w:p w:rsidR="00702C83" w:rsidRPr="003D53A6" w:rsidRDefault="006B1AA0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165 80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6B1AA0" w:rsidRPr="006B1AA0">
              <w:rPr>
                <w:rFonts w:ascii="Courier New" w:eastAsia="Times New Roman" w:hAnsi="Courier New" w:cs="Courier New"/>
                <w:b/>
                <w:lang w:eastAsia="ru-RU"/>
              </w:rPr>
              <w:t>18</w:t>
            </w:r>
            <w:r w:rsidR="006B1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 w:rsidR="006B1AA0" w:rsidRPr="006B1AA0">
              <w:rPr>
                <w:rFonts w:ascii="Courier New" w:eastAsia="Times New Roman" w:hAnsi="Courier New" w:cs="Courier New"/>
                <w:b/>
                <w:lang w:eastAsia="ru-RU"/>
              </w:rPr>
              <w:t>950</w:t>
            </w:r>
            <w:r w:rsidR="006B1AA0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 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>год –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66 850,0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80 000,00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По Коноваловскому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Коноваловском МО состоит из 2-х водонапорных башен в с.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(используется для населения) и д.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Ташлыкова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(предусмотрена только для технических нужд).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В с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Коновалово расположен накопительный резервуар емкостью 45 тонн, расположенный по адресу: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4D5707" w:rsidRPr="003D53A6">
        <w:rPr>
          <w:rFonts w:ascii="Arial" w:eastAsiaTheme="minorEastAsia" w:hAnsi="Arial" w:cs="Arial"/>
          <w:sz w:val="24"/>
          <w:szCs w:val="24"/>
          <w:lang w:eastAsia="ru-RU"/>
        </w:rPr>
        <w:t>ул. Колхозная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, 5, где отсутствует очистное сооружение. Удельный вес проб водопроводной воды не отвечают гигиеническим требованиям по санитарно-химическим и микробиологическим показателям.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13,5</w:t>
      </w:r>
      <w:r w:rsidRPr="003D53A6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+</w:t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2,0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) и естественный дефицит в воде солей кальция, магния натрия, калия, фтора, йода. Это является причиной повышенного уровня сердечно-сосудистой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поселения  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На территории Коноваловского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Для улучшения водоснабжения Коноваловское сельского поселения Балаганского района необходимо реализовать целый комплекс мероприятий. К первоочередным мероприятиям по степени важности и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затратности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можно отнести следующее: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2) привлечение средств обслуживающих организаций на модернизацию объектов коммунального комплекса. 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Коноваловского сельского поселения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ФАПа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ЦЕЛЬ И ЗАДАЧИ ПРОГРАММЫ, СРОКИ  ЕЕ РЕАЛИЗАЦИИ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Создание условий для развития механизмов государственно-частного партнерства.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Развитие и модернизация объектов водоснабжения.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Приобретение специализированной техники для водоснабжения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Достижение цели будет обеспечено путем достижения следующих целевых показателей: 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Мероприя</w:t>
      </w:r>
      <w:r w:rsidR="00B7452C">
        <w:rPr>
          <w:rFonts w:ascii="Arial" w:eastAsiaTheme="minorEastAsia" w:hAnsi="Arial" w:cs="Arial"/>
          <w:sz w:val="24"/>
          <w:szCs w:val="24"/>
          <w:lang w:eastAsia="ru-RU"/>
        </w:rPr>
        <w:t>тия прог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>раммы реализуются с 2019 по 2021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ОСНОВНЫЕ МЕРОПРИЯТИЯ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Программой планируется реализация следующих основных мероприятий: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Развитие государственно-частного партнерства.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2. Развитие и модернизация объектов водоснабжения. 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рамках данного основного мероприятия планируется реализация трех мероприятий: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1) Монтаж установки по очистке воды в здании водонапорной башни по адресу: Иркутская область,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Балаганский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ул.Колхозная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, 5;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2) Приобретение фильтров для очистки воды  (типа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Azud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 1 1/2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Super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3) Приобретение специализированной техники для водос</w:t>
      </w:r>
      <w:r w:rsidR="00704A23">
        <w:rPr>
          <w:rFonts w:ascii="Arial" w:eastAsiaTheme="minorEastAsia" w:hAnsi="Arial" w:cs="Arial"/>
          <w:sz w:val="24"/>
          <w:szCs w:val="24"/>
          <w:lang w:eastAsia="ru-RU"/>
        </w:rPr>
        <w:t>набжения населения в 2019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году.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53A6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702C83" w:rsidRPr="003D53A6" w:rsidTr="007438DA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Срок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финансирования, 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программных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  <w:tr w:rsidR="00702C83" w:rsidRPr="003D53A6" w:rsidTr="007438DA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2019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2020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2021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2-3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2019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1 </w:t>
            </w:r>
          </w:p>
          <w:p w:rsidR="00702C83" w:rsidRPr="003D53A6" w:rsidRDefault="00B7452C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895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 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1 </w:t>
            </w:r>
          </w:p>
          <w:p w:rsidR="00702C83" w:rsidRPr="003D53A6" w:rsidRDefault="00C9498E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876 05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B7452C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18 95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0,</w:t>
            </w:r>
            <w:r>
              <w:rPr>
                <w:rFonts w:ascii="Courier New" w:eastAsiaTheme="minorEastAsia" w:hAnsi="Courier New" w:cs="Courier New"/>
                <w:bCs/>
                <w:lang w:eastAsia="ru-RU"/>
              </w:rPr>
              <w:t>0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2020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497 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165,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2-3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2021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80 000,0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2 </w:t>
            </w:r>
          </w:p>
          <w:p w:rsidR="00702C83" w:rsidRPr="003D53A6" w:rsidRDefault="00C9498E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539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1 </w:t>
            </w:r>
          </w:p>
          <w:p w:rsidR="00702C83" w:rsidRPr="003D53A6" w:rsidRDefault="00C9498E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876 05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C9498E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18 95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497 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165,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80 000,00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</w:tbl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keepNext/>
        <w:spacing w:after="0" w:line="240" w:lineRule="auto"/>
        <w:jc w:val="center"/>
        <w:outlineLvl w:val="0"/>
        <w:rPr>
          <w:rFonts w:ascii="Arial" w:eastAsia="MS ??" w:hAnsi="Arial" w:cs="Arial"/>
          <w:b/>
          <w:bCs/>
          <w:caps/>
          <w:kern w:val="32"/>
          <w:sz w:val="24"/>
          <w:szCs w:val="24"/>
        </w:rPr>
      </w:pPr>
      <w:r w:rsidRPr="003D53A6">
        <w:rPr>
          <w:rFonts w:ascii="Arial" w:eastAsia="MS ??" w:hAnsi="Arial" w:cs="Arial"/>
          <w:b/>
          <w:bCs/>
          <w:caps/>
          <w:kern w:val="32"/>
          <w:sz w:val="24"/>
          <w:szCs w:val="24"/>
        </w:rPr>
        <w:t>РАЗДЕЛ 3. РЕСУРСНОЕ ОБЕСПЕЧЕНИЕ ПРОГРАММЫ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D53A6">
        <w:rPr>
          <w:rFonts w:ascii="Arial" w:eastAsia="MS ??" w:hAnsi="Arial" w:cs="Arial"/>
          <w:sz w:val="24"/>
          <w:szCs w:val="24"/>
          <w:lang w:eastAsia="ru-RU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составляет: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2 344 015,75</w:t>
      </w: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 рублей, в том числе: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0B2A13">
        <w:rPr>
          <w:rFonts w:ascii="Arial" w:eastAsia="Times New Roman" w:hAnsi="Arial" w:cs="Arial"/>
          <w:b/>
          <w:sz w:val="24"/>
          <w:szCs w:val="24"/>
          <w:lang w:eastAsia="ru-RU"/>
        </w:rPr>
        <w:t>1 895 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000</w:t>
      </w:r>
      <w:r w:rsidR="000B2A13">
        <w:rPr>
          <w:rFonts w:ascii="Arial" w:eastAsia="Times New Roman" w:hAnsi="Arial" w:cs="Arial"/>
          <w:b/>
          <w:sz w:val="24"/>
          <w:szCs w:val="24"/>
          <w:lang w:eastAsia="ru-RU"/>
        </w:rPr>
        <w:t>,00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2 264 015,75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80 000,00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областного бюджета составляет:</w:t>
      </w:r>
    </w:p>
    <w:p w:rsidR="00702C83" w:rsidRPr="003D53A6" w:rsidRDefault="000B2A1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2 373 215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,75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числе: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0B2A13">
        <w:rPr>
          <w:rFonts w:ascii="Arial" w:eastAsia="Times New Roman" w:hAnsi="Arial" w:cs="Arial"/>
          <w:b/>
          <w:sz w:val="24"/>
          <w:szCs w:val="24"/>
          <w:lang w:eastAsia="ru-RU"/>
        </w:rPr>
        <w:t>1 876 05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0,00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497 165,75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0,00 </w:t>
      </w:r>
      <w:r w:rsidR="00702C83" w:rsidRPr="003D53A6">
        <w:rPr>
          <w:rFonts w:ascii="Arial" w:eastAsia="Times New Roman" w:hAnsi="Arial" w:cs="Arial"/>
          <w:bCs/>
          <w:sz w:val="24"/>
          <w:szCs w:val="24"/>
          <w:lang w:eastAsia="ru-RU"/>
        </w:rPr>
        <w:t>рублей.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местного бюджета составляет:</w:t>
      </w:r>
    </w:p>
    <w:p w:rsidR="00702C83" w:rsidRPr="003D53A6" w:rsidRDefault="000B2A1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165 80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числе: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0B2A13">
        <w:rPr>
          <w:rFonts w:ascii="Arial" w:eastAsia="Times New Roman" w:hAnsi="Arial" w:cs="Arial"/>
          <w:b/>
          <w:sz w:val="24"/>
          <w:szCs w:val="24"/>
          <w:lang w:eastAsia="ru-RU"/>
        </w:rPr>
        <w:t>18 95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707" w:rsidRPr="003D53A6">
        <w:rPr>
          <w:rFonts w:ascii="Arial" w:eastAsia="Times New Roman" w:hAnsi="Arial" w:cs="Arial"/>
          <w:sz w:val="24"/>
          <w:szCs w:val="24"/>
          <w:lang w:eastAsia="ru-RU"/>
        </w:rPr>
        <w:t>год –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66 850,0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80 000,00 </w:t>
      </w:r>
      <w:r w:rsidR="00702C83" w:rsidRPr="003D53A6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5C42D9" w:rsidRPr="00702C83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Предоставленные средства бюджетов имеют целевое назначение и не могут быть израсходованы на другие цели.</w:t>
      </w:r>
    </w:p>
    <w:sectPr w:rsidR="005C42D9" w:rsidRPr="007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3"/>
    <w:rsid w:val="00033103"/>
    <w:rsid w:val="00087C40"/>
    <w:rsid w:val="000B2A13"/>
    <w:rsid w:val="00312745"/>
    <w:rsid w:val="003E6978"/>
    <w:rsid w:val="004D5707"/>
    <w:rsid w:val="004E3824"/>
    <w:rsid w:val="005C42D9"/>
    <w:rsid w:val="005E69BA"/>
    <w:rsid w:val="006B1AA0"/>
    <w:rsid w:val="00702C83"/>
    <w:rsid w:val="00704A23"/>
    <w:rsid w:val="009216BB"/>
    <w:rsid w:val="009F0001"/>
    <w:rsid w:val="00A9179D"/>
    <w:rsid w:val="00B7452C"/>
    <w:rsid w:val="00C9498E"/>
    <w:rsid w:val="00D35035"/>
    <w:rsid w:val="00D450DA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EB26"/>
  <w15:docId w15:val="{AB812233-311F-41AB-95AC-095DD1A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2019-01-15T06:43:00Z</cp:lastPrinted>
  <dcterms:created xsi:type="dcterms:W3CDTF">2019-01-15T04:46:00Z</dcterms:created>
  <dcterms:modified xsi:type="dcterms:W3CDTF">2019-01-15T06:43:00Z</dcterms:modified>
</cp:coreProperties>
</file>