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B3" w:rsidRDefault="008E34B3" w:rsidP="008E34B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воспользоваться льготой, неучтенной в налоговом уведомлении?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1.</w:t>
      </w:r>
      <w:r>
        <w:rPr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2.</w:t>
      </w:r>
      <w:r>
        <w:rPr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proofErr w:type="gramStart"/>
      <w:r>
        <w:rPr>
          <w:sz w:val="28"/>
          <w:szCs w:val="28"/>
        </w:rPr>
        <w:t xml:space="preserve">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>
        <w:rPr>
          <w:snapToGrid/>
          <w:sz w:val="28"/>
          <w:szCs w:val="28"/>
        </w:rPr>
        <w:t>лица, имеющие трех и более несовершеннолетних детей, один из родителей (законных представителей) ребенка-инвалида)</w:t>
      </w:r>
      <w:r>
        <w:rPr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на которых зарегистрированы транспортные средства, имеющие место нахождения в федеральной территории «Сириус</w:t>
      </w:r>
      <w:proofErr w:type="gramEnd"/>
      <w:r>
        <w:rPr>
          <w:snapToGrid/>
          <w:sz w:val="28"/>
          <w:szCs w:val="28"/>
        </w:rPr>
        <w:t xml:space="preserve">».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 либо обратившись в налоговые инспекции или в контакт-центр ФНС России (тел. 8 800 – 222-22-22).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>
        <w:rPr>
          <w:sz w:val="28"/>
          <w:szCs w:val="28"/>
        </w:rPr>
        <w:t>предпенсионеры</w:t>
      </w:r>
      <w:proofErr w:type="spellEnd"/>
      <w:r>
        <w:rPr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>
        <w:rPr>
          <w:sz w:val="28"/>
          <w:szCs w:val="28"/>
        </w:rPr>
        <w:t xml:space="preserve"> ст. 391 НК РФ.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8E34B3" w:rsidRP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 либо обратившись в налоговые инспекции или в контакт-центр ФНС Р</w:t>
      </w:r>
      <w:r>
        <w:rPr>
          <w:sz w:val="28"/>
          <w:szCs w:val="28"/>
        </w:rPr>
        <w:t>оссии (тел. 8 800 – 222-22-22).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 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 для 16-категорий налогоплательщиков (пенсионеры, </w:t>
      </w:r>
      <w:proofErr w:type="spellStart"/>
      <w:r>
        <w:rPr>
          <w:sz w:val="28"/>
          <w:szCs w:val="28"/>
        </w:rPr>
        <w:t>предпенсионеры</w:t>
      </w:r>
      <w:proofErr w:type="spellEnd"/>
      <w:r>
        <w:rPr>
          <w:sz w:val="28"/>
          <w:szCs w:val="28"/>
        </w:rPr>
        <w:t xml:space="preserve">, инвалиды, ветераны, военнослужащие, владельцы </w:t>
      </w:r>
      <w:proofErr w:type="spellStart"/>
      <w:r>
        <w:rPr>
          <w:sz w:val="28"/>
          <w:szCs w:val="28"/>
        </w:rPr>
        <w:t>хозстроений</w:t>
      </w:r>
      <w:proofErr w:type="spellEnd"/>
      <w:r>
        <w:rPr>
          <w:sz w:val="28"/>
          <w:szCs w:val="28"/>
        </w:rPr>
        <w:t xml:space="preserve"> до 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>
        <w:rPr>
          <w:sz w:val="28"/>
          <w:szCs w:val="28"/>
        </w:rPr>
        <w:t xml:space="preserve">Льгота освобождает от уплаты налога в отношении одного объекта каждого вида с </w:t>
      </w:r>
      <w:r>
        <w:rPr>
          <w:sz w:val="28"/>
          <w:szCs w:val="28"/>
        </w:rPr>
        <w:lastRenderedPageBreak/>
        <w:t xml:space="preserve">максимально исчисленной суммой налога: 1) квартира или комната; 2) жилой дом; 3) помещение или сооружение, указанные в </w:t>
      </w:r>
      <w:hyperlink r:id="rId7" w:history="1">
        <w:r>
          <w:rPr>
            <w:sz w:val="28"/>
            <w:szCs w:val="28"/>
          </w:rPr>
          <w:t>подпункте 14 пункта 1</w:t>
        </w:r>
      </w:hyperlink>
      <w:r>
        <w:rPr>
          <w:sz w:val="28"/>
          <w:szCs w:val="28"/>
        </w:rPr>
        <w:t xml:space="preserve"> статьи 407 НК РФ; 4) хозяйственное строение или сооружение, указанные в </w:t>
      </w:r>
      <w:hyperlink r:id="rId8" w:history="1">
        <w:r>
          <w:rPr>
            <w:sz w:val="28"/>
            <w:szCs w:val="28"/>
          </w:rPr>
          <w:t>подпункте 15 пункта 1</w:t>
        </w:r>
      </w:hyperlink>
      <w:r>
        <w:rPr>
          <w:sz w:val="28"/>
          <w:szCs w:val="28"/>
        </w:rPr>
        <w:t xml:space="preserve"> статьи 407 НК РФ;</w:t>
      </w:r>
      <w:proofErr w:type="gramEnd"/>
      <w:r>
        <w:rPr>
          <w:sz w:val="28"/>
          <w:szCs w:val="28"/>
        </w:rPr>
        <w:t xml:space="preserve"> 5)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налоговая льготы в соответствии с пунктом 1 статьи 407 НК РФ не предоставляется в отношении </w:t>
      </w:r>
      <w:hyperlink r:id="rId9" w:history="1">
        <w:r>
          <w:rPr>
            <w:rStyle w:val="a3"/>
            <w:sz w:val="28"/>
            <w:szCs w:val="28"/>
          </w:rPr>
          <w:t>объектов</w:t>
        </w:r>
      </w:hyperlink>
      <w:r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0" w:history="1">
        <w:r>
          <w:rPr>
            <w:rStyle w:val="a3"/>
            <w:sz w:val="28"/>
            <w:szCs w:val="28"/>
          </w:rPr>
          <w:t>пунктом 7 статьи 378.2</w:t>
        </w:r>
      </w:hyperlink>
      <w:r>
        <w:rPr>
          <w:sz w:val="28"/>
          <w:szCs w:val="28"/>
        </w:rPr>
        <w:t xml:space="preserve"> НК РФ, в отношении объектов налогообложения, предусмотренных </w:t>
      </w:r>
      <w:hyperlink r:id="rId11" w:history="1">
        <w:r>
          <w:rPr>
            <w:rStyle w:val="a3"/>
            <w:sz w:val="28"/>
            <w:szCs w:val="28"/>
          </w:rPr>
          <w:t>абзацем вторым пункта 10 статьи 378.2</w:t>
        </w:r>
      </w:hyperlink>
      <w:r>
        <w:rPr>
          <w:sz w:val="28"/>
          <w:szCs w:val="28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2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3.</w:t>
      </w:r>
      <w:r>
        <w:rPr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уполномоченный МФЦ. </w:t>
      </w:r>
    </w:p>
    <w:p w:rsidR="00901561" w:rsidRDefault="008E34B3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52"/>
    <w:rsid w:val="00841B52"/>
    <w:rsid w:val="008E34B3"/>
    <w:rsid w:val="00A46502"/>
    <w:rsid w:val="00A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B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B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B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B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DE8A3430C0BCBCAD69872580B1B75689B1F6C3FC35CD82AD13AB7DC362D43E4BC14749D0C20o7W3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7DE8A3430C0BCBCAD69872580B1B75689B1F6C3FC35CD82AD13AB7DC362D43E4BC14749D0C20o7W2L" TargetMode="External"/><Relationship Id="rId12" Type="http://schemas.openxmlformats.org/officeDocument/2006/relationships/hyperlink" Target="https://www.nalog.ru/rn38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hyperlink" Target="https://login.consultant.ru/link/?req=doc&amp;base=LAW&amp;n=463356&amp;dst=9764" TargetMode="External"/><Relationship Id="rId5" Type="http://schemas.openxmlformats.org/officeDocument/2006/relationships/hyperlink" Target="https://www.nalog.ru/rn38/service/tax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9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191&amp;dst=100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Марченко Михаил Сергеевич</cp:lastModifiedBy>
  <cp:revision>2</cp:revision>
  <dcterms:created xsi:type="dcterms:W3CDTF">2024-09-26T01:57:00Z</dcterms:created>
  <dcterms:modified xsi:type="dcterms:W3CDTF">2024-09-26T01:58:00Z</dcterms:modified>
</cp:coreProperties>
</file>